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AEF7" w14:textId="77777777" w:rsidR="00C81B1C" w:rsidRDefault="00C81B1C">
      <w:pPr>
        <w:pStyle w:val="normal0"/>
        <w:jc w:val="both"/>
        <w:rPr>
          <w:rFonts w:ascii="Arial" w:eastAsia="Arial" w:hAnsi="Arial" w:cs="Arial"/>
          <w:b/>
          <w:sz w:val="32"/>
          <w:szCs w:val="32"/>
        </w:rPr>
      </w:pPr>
    </w:p>
    <w:p w14:paraId="4A993E94" w14:textId="77777777" w:rsidR="00C81B1C" w:rsidRDefault="00980B4C">
      <w:pPr>
        <w:pStyle w:val="normal0"/>
        <w:spacing w:after="160" w:line="256" w:lineRule="auto"/>
        <w:jc w:val="both"/>
        <w:rPr>
          <w:rFonts w:ascii="Arial" w:eastAsia="Arial" w:hAnsi="Arial" w:cs="Arial"/>
          <w:b/>
          <w:sz w:val="28"/>
          <w:szCs w:val="28"/>
          <w:u w:val="single"/>
        </w:rPr>
      </w:pPr>
      <w:r>
        <w:rPr>
          <w:rFonts w:ascii="Arial" w:eastAsia="Arial" w:hAnsi="Arial" w:cs="Arial"/>
          <w:b/>
          <w:sz w:val="28"/>
          <w:szCs w:val="28"/>
          <w:u w:val="single"/>
        </w:rPr>
        <w:t>Pour diffusion imm</w:t>
      </w:r>
      <w:bookmarkStart w:id="0" w:name="_GoBack"/>
      <w:bookmarkEnd w:id="0"/>
      <w:r>
        <w:rPr>
          <w:rFonts w:ascii="Arial" w:eastAsia="Arial" w:hAnsi="Arial" w:cs="Arial"/>
          <w:b/>
          <w:sz w:val="28"/>
          <w:szCs w:val="28"/>
          <w:u w:val="single"/>
        </w:rPr>
        <w:t>édiate</w:t>
      </w:r>
    </w:p>
    <w:p w14:paraId="74028F8D" w14:textId="77777777" w:rsidR="00C81B1C" w:rsidRDefault="00C81B1C">
      <w:pPr>
        <w:pStyle w:val="normal0"/>
        <w:jc w:val="both"/>
        <w:rPr>
          <w:rFonts w:ascii="Arial" w:eastAsia="Arial" w:hAnsi="Arial" w:cs="Arial"/>
          <w:b/>
          <w:sz w:val="32"/>
          <w:szCs w:val="32"/>
        </w:rPr>
      </w:pPr>
    </w:p>
    <w:p w14:paraId="214A019F" w14:textId="77777777" w:rsidR="00C81B1C" w:rsidRDefault="00980B4C">
      <w:pPr>
        <w:pStyle w:val="normal0"/>
        <w:jc w:val="both"/>
        <w:rPr>
          <w:rFonts w:ascii="Arial" w:eastAsia="Arial" w:hAnsi="Arial" w:cs="Arial"/>
          <w:b/>
          <w:sz w:val="32"/>
          <w:szCs w:val="32"/>
        </w:rPr>
      </w:pPr>
      <w:r>
        <w:rPr>
          <w:rFonts w:ascii="Arial" w:eastAsia="Arial" w:hAnsi="Arial" w:cs="Arial"/>
          <w:b/>
          <w:sz w:val="32"/>
          <w:szCs w:val="32"/>
        </w:rPr>
        <w:t>Le Ford Ranger Raptor, le pickup de l’extrême, débarque pour la première fois au Maroc</w:t>
      </w:r>
    </w:p>
    <w:p w14:paraId="2F2CEBBB" w14:textId="77777777" w:rsidR="00C81B1C" w:rsidRDefault="00C81B1C">
      <w:pPr>
        <w:pStyle w:val="normal0"/>
        <w:jc w:val="both"/>
        <w:rPr>
          <w:rFonts w:ascii="Arial" w:eastAsia="Arial" w:hAnsi="Arial" w:cs="Arial"/>
          <w:b/>
          <w:sz w:val="30"/>
          <w:szCs w:val="30"/>
        </w:rPr>
      </w:pPr>
    </w:p>
    <w:p w14:paraId="695C3CE6"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b/>
          <w:sz w:val="24"/>
          <w:szCs w:val="24"/>
        </w:rPr>
        <w:t>Maroc, Casablanca – 02 Mars 2020 –</w:t>
      </w:r>
      <w:r>
        <w:rPr>
          <w:rFonts w:ascii="Arial" w:eastAsia="Arial" w:hAnsi="Arial" w:cs="Arial"/>
          <w:sz w:val="24"/>
          <w:szCs w:val="24"/>
        </w:rPr>
        <w:t xml:space="preserve"> Ford Maroc lance le nouveau Ranger Raptor, la version encore plus musclée, encore plus tout-terrain et toujours plus robuste du Ranger, le pick-up le plus vendu sur le continent européen.</w:t>
      </w:r>
    </w:p>
    <w:p w14:paraId="129926D6" w14:textId="77777777" w:rsidR="00C81B1C" w:rsidRDefault="00C81B1C">
      <w:pPr>
        <w:pStyle w:val="normal0"/>
        <w:spacing w:line="276" w:lineRule="auto"/>
        <w:jc w:val="both"/>
        <w:rPr>
          <w:rFonts w:ascii="Arial" w:eastAsia="Arial" w:hAnsi="Arial" w:cs="Arial"/>
          <w:sz w:val="24"/>
          <w:szCs w:val="24"/>
        </w:rPr>
      </w:pPr>
    </w:p>
    <w:p w14:paraId="1873AD12"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Développé par Ford Performance pour ceux qui préfèrent rouler hors</w:t>
      </w:r>
      <w:r>
        <w:rPr>
          <w:rFonts w:ascii="Arial" w:eastAsia="Arial" w:hAnsi="Arial" w:cs="Arial"/>
          <w:sz w:val="24"/>
          <w:szCs w:val="24"/>
        </w:rPr>
        <w:t xml:space="preserve"> des sentiers battus, le tout premier Ranger Raptor est maintenant disponible au Maroc, propulsé par le moteur diesel Bi-turbo 2.0l, délivrant une puissance de 213ch, 500 Nm de couple et équipé de la nouvelle transmission automatique Ford à 10 rapports.</w:t>
      </w:r>
    </w:p>
    <w:p w14:paraId="28C35066" w14:textId="77777777" w:rsidR="00C81B1C" w:rsidRDefault="00C81B1C">
      <w:pPr>
        <w:pStyle w:val="normal0"/>
        <w:spacing w:line="276" w:lineRule="auto"/>
        <w:jc w:val="both"/>
        <w:rPr>
          <w:rFonts w:ascii="Arial" w:eastAsia="Arial" w:hAnsi="Arial" w:cs="Arial"/>
          <w:sz w:val="24"/>
          <w:szCs w:val="24"/>
        </w:rPr>
      </w:pPr>
    </w:p>
    <w:p w14:paraId="67F0301F"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w:t>
      </w:r>
      <w:r>
        <w:rPr>
          <w:rFonts w:ascii="Arial" w:eastAsia="Arial" w:hAnsi="Arial" w:cs="Arial"/>
          <w:sz w:val="24"/>
          <w:szCs w:val="24"/>
        </w:rPr>
        <w:t>e nouveau Ranger Raptor impose son look dominateur avec des dimensions hors normes et un style extrême, accompagnés par un châssis unique optimisé par Ford Performance, pour une conduite tout-terrain à haute vitesse, quelles que soient les conditions de ro</w:t>
      </w:r>
      <w:r>
        <w:rPr>
          <w:rFonts w:ascii="Arial" w:eastAsia="Arial" w:hAnsi="Arial" w:cs="Arial"/>
          <w:sz w:val="24"/>
          <w:szCs w:val="24"/>
        </w:rPr>
        <w:t>ute.</w:t>
      </w:r>
    </w:p>
    <w:p w14:paraId="0472F1A7"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i/>
          <w:sz w:val="24"/>
          <w:szCs w:val="24"/>
        </w:rPr>
        <w:t>"Oubliez tout ce que vous pensez savoir sur les pick-up", a déclaré Leo Roeks</w:t>
      </w:r>
      <w:r>
        <w:rPr>
          <w:rFonts w:ascii="Arial" w:eastAsia="Arial" w:hAnsi="Arial" w:cs="Arial"/>
          <w:sz w:val="24"/>
          <w:szCs w:val="24"/>
        </w:rPr>
        <w:t>, Directeur de Ford Performance en Europe.</w:t>
      </w:r>
      <w:r>
        <w:rPr>
          <w:rFonts w:ascii="Arial" w:eastAsia="Arial" w:hAnsi="Arial" w:cs="Arial"/>
          <w:i/>
          <w:sz w:val="24"/>
          <w:szCs w:val="24"/>
        </w:rPr>
        <w:t xml:space="preserve"> "Le nouveau Ranger Raptor est dans une catégorie à part. C'est un pur-sang capable de faire la course dans le désert, d’affronter n</w:t>
      </w:r>
      <w:r>
        <w:rPr>
          <w:rFonts w:ascii="Arial" w:eastAsia="Arial" w:hAnsi="Arial" w:cs="Arial"/>
          <w:i/>
          <w:sz w:val="24"/>
          <w:szCs w:val="24"/>
        </w:rPr>
        <w:t>’importe quel terrain de jeu, capable de tout transporter et ce dans les conditions de travail les plus extrêmes."</w:t>
      </w:r>
    </w:p>
    <w:p w14:paraId="48AD45B8" w14:textId="77777777" w:rsidR="00C81B1C" w:rsidRDefault="00C81B1C">
      <w:pPr>
        <w:pStyle w:val="normal0"/>
        <w:spacing w:line="276" w:lineRule="auto"/>
        <w:jc w:val="both"/>
        <w:rPr>
          <w:rFonts w:ascii="Arial" w:eastAsia="Arial" w:hAnsi="Arial" w:cs="Arial"/>
          <w:sz w:val="24"/>
          <w:szCs w:val="24"/>
        </w:rPr>
      </w:pPr>
    </w:p>
    <w:p w14:paraId="3A588A92"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b/>
          <w:sz w:val="24"/>
          <w:szCs w:val="24"/>
        </w:rPr>
        <w:t>Le plus robuste</w:t>
      </w:r>
    </w:p>
    <w:p w14:paraId="71C8DE00"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Conçu pour encaisser tous les aléas d'une conduite tout-terrain, le châssis unique et ultra-renforcé du Ranger Raptor s'appu</w:t>
      </w:r>
      <w:r>
        <w:rPr>
          <w:rFonts w:ascii="Arial" w:eastAsia="Arial" w:hAnsi="Arial" w:cs="Arial"/>
          <w:sz w:val="24"/>
          <w:szCs w:val="24"/>
        </w:rPr>
        <w:t>ie sur les matériaux les plus résistants comme de l'acier à basse teneur en alliage.</w:t>
      </w:r>
    </w:p>
    <w:p w14:paraId="41F99378" w14:textId="77777777" w:rsidR="00C81B1C" w:rsidRDefault="00C81B1C">
      <w:pPr>
        <w:pStyle w:val="normal0"/>
        <w:spacing w:line="276" w:lineRule="auto"/>
        <w:jc w:val="both"/>
        <w:rPr>
          <w:rFonts w:ascii="Arial" w:eastAsia="Arial" w:hAnsi="Arial" w:cs="Arial"/>
          <w:sz w:val="24"/>
          <w:szCs w:val="24"/>
        </w:rPr>
      </w:pPr>
    </w:p>
    <w:p w14:paraId="1E9B4AF9"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Les suspensions du Raptor, développées pour la course, ont été spécialement conçues pour affronter les terrains les plus difficiles à haute vitesse, tout en conservant un</w:t>
      </w:r>
      <w:r>
        <w:rPr>
          <w:rFonts w:ascii="Arial" w:eastAsia="Arial" w:hAnsi="Arial" w:cs="Arial"/>
          <w:sz w:val="24"/>
          <w:szCs w:val="24"/>
        </w:rPr>
        <w:t xml:space="preserve"> contrôle et un confort optimisés. Les amortisseurs Fox Racing Shox avec pistons de 46,6 mm et leur technologie "Position Sensitive Damping" génèrent des forces d'amortissement plus élevées lors des séquences tout-terrain et plus faibles dans des condition</w:t>
      </w:r>
      <w:r>
        <w:rPr>
          <w:rFonts w:ascii="Arial" w:eastAsia="Arial" w:hAnsi="Arial" w:cs="Arial"/>
          <w:sz w:val="24"/>
          <w:szCs w:val="24"/>
        </w:rPr>
        <w:t>s de conduite sur route plus classiques.</w:t>
      </w:r>
    </w:p>
    <w:p w14:paraId="4697E6E8" w14:textId="77777777" w:rsidR="00C81B1C" w:rsidRDefault="00C81B1C">
      <w:pPr>
        <w:pStyle w:val="normal0"/>
        <w:spacing w:line="276" w:lineRule="auto"/>
        <w:jc w:val="both"/>
        <w:rPr>
          <w:rFonts w:ascii="Arial" w:eastAsia="Arial" w:hAnsi="Arial" w:cs="Arial"/>
          <w:sz w:val="24"/>
          <w:szCs w:val="24"/>
        </w:rPr>
      </w:pPr>
    </w:p>
    <w:p w14:paraId="4C8231D0"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lastRenderedPageBreak/>
        <w:t>Le freinage est assuré par des étriers avant à deux pistons, des disques avant ventilés de 332 mm par 32 mm et des disques arrière ventilés de 332 mm par 24 mm.</w:t>
      </w:r>
    </w:p>
    <w:p w14:paraId="39BDE91B"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Les pneus BF Goodrich 285/70 R17 tout-terrain ont été</w:t>
      </w:r>
      <w:r>
        <w:rPr>
          <w:rFonts w:ascii="Arial" w:eastAsia="Arial" w:hAnsi="Arial" w:cs="Arial"/>
          <w:sz w:val="24"/>
          <w:szCs w:val="24"/>
        </w:rPr>
        <w:t xml:space="preserve"> spécialement conçus pour le Ranger Raptor. Mesurant 838 mm de diamètre et 285 mm de largeur, leur style offre un flanc robuste pour affronter les environnements les plus redoutables en toute confiance, ainsi qu’un dessin spécial qui procure une tenue de r</w:t>
      </w:r>
      <w:r>
        <w:rPr>
          <w:rFonts w:ascii="Arial" w:eastAsia="Arial" w:hAnsi="Arial" w:cs="Arial"/>
          <w:sz w:val="24"/>
          <w:szCs w:val="24"/>
        </w:rPr>
        <w:t>oute idéale dans des conditions de route humides, boueuses, sablonneuses ou enneigées.</w:t>
      </w:r>
    </w:p>
    <w:p w14:paraId="45A483E7" w14:textId="77777777" w:rsidR="00C81B1C" w:rsidRDefault="00C81B1C">
      <w:pPr>
        <w:pStyle w:val="normal0"/>
        <w:spacing w:line="276" w:lineRule="auto"/>
        <w:jc w:val="both"/>
        <w:rPr>
          <w:rFonts w:ascii="Arial" w:eastAsia="Arial" w:hAnsi="Arial" w:cs="Arial"/>
          <w:sz w:val="24"/>
          <w:szCs w:val="24"/>
        </w:rPr>
      </w:pPr>
    </w:p>
    <w:p w14:paraId="53651F9D"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La garde au sol de 283 mm, l’angle d'attaque de 32,5 degrés, l'angle ventral et de fuite (24 degrés chacun) offrent des capacités impressionnantes de franchissement.</w:t>
      </w:r>
    </w:p>
    <w:p w14:paraId="697ABD0C"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w:t>
      </w:r>
      <w:r>
        <w:rPr>
          <w:rFonts w:ascii="Arial" w:eastAsia="Arial" w:hAnsi="Arial" w:cs="Arial"/>
          <w:sz w:val="24"/>
          <w:szCs w:val="24"/>
        </w:rPr>
        <w:t xml:space="preserve"> Ranger Raptor dispose également d'une protection de caisse renforcée en métal haute résistance, épaisse de 2,3 mm, pour passer outre n’importe quel obstacle sur la route. </w:t>
      </w:r>
    </w:p>
    <w:p w14:paraId="24B36E98" w14:textId="77777777" w:rsidR="00C81B1C" w:rsidRDefault="00C81B1C">
      <w:pPr>
        <w:pStyle w:val="normal0"/>
        <w:spacing w:line="276" w:lineRule="auto"/>
        <w:jc w:val="both"/>
        <w:rPr>
          <w:rFonts w:ascii="Arial" w:eastAsia="Arial" w:hAnsi="Arial" w:cs="Arial"/>
          <w:sz w:val="24"/>
          <w:szCs w:val="24"/>
        </w:rPr>
      </w:pPr>
    </w:p>
    <w:p w14:paraId="12A69304"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b/>
          <w:sz w:val="24"/>
          <w:szCs w:val="24"/>
        </w:rPr>
        <w:t>Impressionnant, aussi bien dans le style que dans l'action</w:t>
      </w:r>
    </w:p>
    <w:p w14:paraId="1B62B31B"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La face avant du nouvea</w:t>
      </w:r>
      <w:r>
        <w:rPr>
          <w:rFonts w:ascii="Arial" w:eastAsia="Arial" w:hAnsi="Arial" w:cs="Arial"/>
          <w:sz w:val="24"/>
          <w:szCs w:val="24"/>
        </w:rPr>
        <w:t>u Ranger Raptor intègre une calandre spectaculaire inspirée du F-150 Raptor encadrée par des optiques Xénon. Elle repose sur un pare-chocs monté sur un cadre indépendant, qui intègre des feux antibrouillards LED et des conduits aérodynamiques.</w:t>
      </w:r>
    </w:p>
    <w:p w14:paraId="347DE48E"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Les ailes av</w:t>
      </w:r>
      <w:r>
        <w:rPr>
          <w:rFonts w:ascii="Arial" w:eastAsia="Arial" w:hAnsi="Arial" w:cs="Arial"/>
          <w:sz w:val="24"/>
          <w:szCs w:val="24"/>
        </w:rPr>
        <w:t>ant élargies en composites sont conçues pour éviter les dommages dus à une conduite tout-terrain et pour permettre une course de suspension plus longue et des pneus surdimensionnés. Les marchepieds latéraux ont été spécifiquement mis au point pour empêcher</w:t>
      </w:r>
      <w:r>
        <w:rPr>
          <w:rFonts w:ascii="Arial" w:eastAsia="Arial" w:hAnsi="Arial" w:cs="Arial"/>
          <w:sz w:val="24"/>
          <w:szCs w:val="24"/>
        </w:rPr>
        <w:t xml:space="preserve"> les projections de cailloux vers l’arrière du pick-up et évacuer facilement le sable, la boue et la neige.</w:t>
      </w:r>
    </w:p>
    <w:p w14:paraId="5CB5FBF1" w14:textId="77777777" w:rsidR="00C81B1C" w:rsidRDefault="00C81B1C">
      <w:pPr>
        <w:pStyle w:val="normal0"/>
        <w:spacing w:line="276" w:lineRule="auto"/>
        <w:jc w:val="both"/>
        <w:rPr>
          <w:rFonts w:ascii="Arial" w:eastAsia="Arial" w:hAnsi="Arial" w:cs="Arial"/>
          <w:sz w:val="24"/>
          <w:szCs w:val="24"/>
        </w:rPr>
      </w:pPr>
    </w:p>
    <w:p w14:paraId="4C8F3D05"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 Ranger Raptor reste un véritable bourreau de travail. Son pare-chocs arrière inédit est doté d’un attelage intégré d'une capacité de tractage de 2 500 kg. Il intègre également deux crochets de remorquage à l'avant qui peuvent supporter 4 500 kg de charg</w:t>
      </w:r>
      <w:r>
        <w:rPr>
          <w:rFonts w:ascii="Arial" w:eastAsia="Arial" w:hAnsi="Arial" w:cs="Arial"/>
          <w:sz w:val="24"/>
          <w:szCs w:val="24"/>
        </w:rPr>
        <w:t>e, tandis que les deux situés à l’arrière supportent jusqu’à 3 800 kg. Le plateau de chargement de 1 560 mm sur 1 743 mm a été conçu pour les explorateurs du week-end, capable de transporter plusieurs motos ou jet-skis, en plus des outils. Pour un accès pr</w:t>
      </w:r>
      <w:r>
        <w:rPr>
          <w:rFonts w:ascii="Arial" w:eastAsia="Arial" w:hAnsi="Arial" w:cs="Arial"/>
          <w:sz w:val="24"/>
          <w:szCs w:val="24"/>
        </w:rPr>
        <w:t>atique, la ridelle EZ Lift utilise un nouvel assemblage qui nécessite 66% de force en moins pour le fermer.</w:t>
      </w:r>
    </w:p>
    <w:p w14:paraId="2E24B4F2" w14:textId="77777777" w:rsidR="00C81B1C" w:rsidRDefault="00C81B1C">
      <w:pPr>
        <w:pStyle w:val="normal0"/>
        <w:spacing w:line="276" w:lineRule="auto"/>
        <w:jc w:val="both"/>
        <w:rPr>
          <w:rFonts w:ascii="Arial" w:eastAsia="Arial" w:hAnsi="Arial" w:cs="Arial"/>
          <w:sz w:val="24"/>
          <w:szCs w:val="24"/>
        </w:rPr>
      </w:pPr>
    </w:p>
    <w:p w14:paraId="513E705E"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 xml:space="preserve">L'ADN de Ford Performance se retrouve aussi à l’intérieur avec l’utilisation de matériaux très résistants et privilégiant le confort quel que soit </w:t>
      </w:r>
      <w:r>
        <w:rPr>
          <w:rFonts w:ascii="Arial" w:eastAsia="Arial" w:hAnsi="Arial" w:cs="Arial"/>
          <w:sz w:val="24"/>
          <w:szCs w:val="24"/>
        </w:rPr>
        <w:t>le scénario de conduite. Les sièges renforcés et enveloppants sont spécialement conçus pour un soutien accru à haute vitesse sur tout-terrain.</w:t>
      </w:r>
    </w:p>
    <w:p w14:paraId="6369B8C9"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Des coutures bleues et des touches de cuir sont présentes dans tout l’habitacle. Les palettes de changement de vitesse, allongées et conçues dans un alliage de magnésium, sont facilement accessibles derrière le volant en cuir perforé.</w:t>
      </w:r>
    </w:p>
    <w:p w14:paraId="69E2F3C6" w14:textId="77777777" w:rsidR="00C81B1C" w:rsidRDefault="00C81B1C">
      <w:pPr>
        <w:pStyle w:val="normal0"/>
        <w:spacing w:line="276" w:lineRule="auto"/>
        <w:jc w:val="both"/>
        <w:rPr>
          <w:rFonts w:ascii="Arial" w:eastAsia="Arial" w:hAnsi="Arial" w:cs="Arial"/>
          <w:sz w:val="24"/>
          <w:szCs w:val="24"/>
        </w:rPr>
      </w:pPr>
    </w:p>
    <w:p w14:paraId="42AEDD54"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b/>
          <w:sz w:val="24"/>
          <w:szCs w:val="24"/>
        </w:rPr>
        <w:t>Des modes de conduit</w:t>
      </w:r>
      <w:r>
        <w:rPr>
          <w:rFonts w:ascii="Arial" w:eastAsia="Arial" w:hAnsi="Arial" w:cs="Arial"/>
          <w:b/>
          <w:sz w:val="24"/>
          <w:szCs w:val="24"/>
        </w:rPr>
        <w:t>e pour tous les terrains</w:t>
      </w:r>
    </w:p>
    <w:p w14:paraId="496DB6A8"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 Ranger Raptor propose 6 modes de conduites pour couvrir un large éventail de scénarios :</w:t>
      </w:r>
    </w:p>
    <w:p w14:paraId="11052E64" w14:textId="77777777" w:rsidR="00C81B1C" w:rsidRDefault="00980B4C">
      <w:pPr>
        <w:pStyle w:val="normal0"/>
        <w:numPr>
          <w:ilvl w:val="0"/>
          <w:numId w:val="1"/>
        </w:numPr>
        <w:pBdr>
          <w:top w:val="nil"/>
          <w:left w:val="nil"/>
          <w:bottom w:val="nil"/>
          <w:right w:val="nil"/>
          <w:between w:val="nil"/>
        </w:pBdr>
        <w:spacing w:line="276" w:lineRule="auto"/>
        <w:jc w:val="both"/>
        <w:rPr>
          <w:color w:val="000000"/>
          <w:sz w:val="24"/>
          <w:szCs w:val="24"/>
        </w:rPr>
      </w:pPr>
      <w:r>
        <w:rPr>
          <w:rFonts w:ascii="Arial" w:eastAsia="Arial" w:hAnsi="Arial" w:cs="Arial"/>
          <w:color w:val="000000"/>
          <w:sz w:val="24"/>
          <w:szCs w:val="24"/>
        </w:rPr>
        <w:t xml:space="preserve">Mode </w:t>
      </w:r>
      <w:r>
        <w:rPr>
          <w:rFonts w:ascii="Arial" w:eastAsia="Arial" w:hAnsi="Arial" w:cs="Arial"/>
          <w:b/>
          <w:color w:val="000000"/>
          <w:sz w:val="24"/>
          <w:szCs w:val="24"/>
        </w:rPr>
        <w:t>Normal</w:t>
      </w:r>
      <w:r>
        <w:rPr>
          <w:rFonts w:ascii="Arial" w:eastAsia="Arial" w:hAnsi="Arial" w:cs="Arial"/>
          <w:color w:val="000000"/>
          <w:sz w:val="24"/>
          <w:szCs w:val="24"/>
        </w:rPr>
        <w:t>, pour privilégier le confort lors des trajets quotidiens</w:t>
      </w:r>
    </w:p>
    <w:p w14:paraId="0ED16043" w14:textId="77777777" w:rsidR="00C81B1C" w:rsidRDefault="00980B4C">
      <w:pPr>
        <w:pStyle w:val="normal0"/>
        <w:numPr>
          <w:ilvl w:val="0"/>
          <w:numId w:val="1"/>
        </w:numPr>
        <w:pBdr>
          <w:top w:val="nil"/>
          <w:left w:val="nil"/>
          <w:bottom w:val="nil"/>
          <w:right w:val="nil"/>
          <w:between w:val="nil"/>
        </w:pBdr>
        <w:spacing w:line="276" w:lineRule="auto"/>
        <w:jc w:val="both"/>
        <w:rPr>
          <w:color w:val="000000"/>
          <w:sz w:val="24"/>
          <w:szCs w:val="24"/>
        </w:rPr>
      </w:pPr>
      <w:r>
        <w:rPr>
          <w:rFonts w:ascii="Arial" w:eastAsia="Arial" w:hAnsi="Arial" w:cs="Arial"/>
          <w:color w:val="000000"/>
          <w:sz w:val="24"/>
          <w:szCs w:val="24"/>
        </w:rPr>
        <w:t xml:space="preserve">Mode </w:t>
      </w:r>
      <w:r>
        <w:rPr>
          <w:rFonts w:ascii="Arial" w:eastAsia="Arial" w:hAnsi="Arial" w:cs="Arial"/>
          <w:b/>
          <w:color w:val="000000"/>
          <w:sz w:val="24"/>
          <w:szCs w:val="24"/>
        </w:rPr>
        <w:t>Sport</w:t>
      </w:r>
      <w:r>
        <w:rPr>
          <w:rFonts w:ascii="Arial" w:eastAsia="Arial" w:hAnsi="Arial" w:cs="Arial"/>
          <w:color w:val="000000"/>
          <w:sz w:val="24"/>
          <w:szCs w:val="24"/>
        </w:rPr>
        <w:t>, pour une conduite plus réactive et plus dynamique sur rout</w:t>
      </w:r>
      <w:r>
        <w:rPr>
          <w:rFonts w:ascii="Arial" w:eastAsia="Arial" w:hAnsi="Arial" w:cs="Arial"/>
          <w:color w:val="000000"/>
          <w:sz w:val="24"/>
          <w:szCs w:val="24"/>
        </w:rPr>
        <w:t>e</w:t>
      </w:r>
    </w:p>
    <w:p w14:paraId="1166AB15" w14:textId="77777777" w:rsidR="00C81B1C" w:rsidRDefault="00980B4C">
      <w:pPr>
        <w:pStyle w:val="normal0"/>
        <w:numPr>
          <w:ilvl w:val="0"/>
          <w:numId w:val="1"/>
        </w:numPr>
        <w:pBdr>
          <w:top w:val="nil"/>
          <w:left w:val="nil"/>
          <w:bottom w:val="nil"/>
          <w:right w:val="nil"/>
          <w:between w:val="nil"/>
        </w:pBdr>
        <w:spacing w:line="276" w:lineRule="auto"/>
        <w:jc w:val="both"/>
        <w:rPr>
          <w:color w:val="000000"/>
          <w:sz w:val="24"/>
          <w:szCs w:val="24"/>
        </w:rPr>
      </w:pPr>
      <w:r>
        <w:rPr>
          <w:rFonts w:ascii="Arial" w:eastAsia="Arial" w:hAnsi="Arial" w:cs="Arial"/>
          <w:color w:val="000000"/>
          <w:sz w:val="24"/>
          <w:szCs w:val="24"/>
        </w:rPr>
        <w:t xml:space="preserve">Mode </w:t>
      </w:r>
      <w:r>
        <w:rPr>
          <w:rFonts w:ascii="Arial" w:eastAsia="Arial" w:hAnsi="Arial" w:cs="Arial"/>
          <w:b/>
          <w:color w:val="000000"/>
          <w:sz w:val="24"/>
          <w:szCs w:val="24"/>
        </w:rPr>
        <w:t>Neige/Gravier/Herbe</w:t>
      </w:r>
      <w:r>
        <w:rPr>
          <w:rFonts w:ascii="Arial" w:eastAsia="Arial" w:hAnsi="Arial" w:cs="Arial"/>
          <w:color w:val="000000"/>
          <w:sz w:val="24"/>
          <w:szCs w:val="24"/>
        </w:rPr>
        <w:t>, conçu pour des surfaces glissantes</w:t>
      </w:r>
    </w:p>
    <w:p w14:paraId="2ABDF5B5" w14:textId="77777777" w:rsidR="00C81B1C" w:rsidRDefault="00980B4C">
      <w:pPr>
        <w:pStyle w:val="normal0"/>
        <w:numPr>
          <w:ilvl w:val="0"/>
          <w:numId w:val="1"/>
        </w:numPr>
        <w:pBdr>
          <w:top w:val="nil"/>
          <w:left w:val="nil"/>
          <w:bottom w:val="nil"/>
          <w:right w:val="nil"/>
          <w:between w:val="nil"/>
        </w:pBdr>
        <w:spacing w:line="276" w:lineRule="auto"/>
        <w:jc w:val="both"/>
        <w:rPr>
          <w:color w:val="000000"/>
          <w:sz w:val="24"/>
          <w:szCs w:val="24"/>
        </w:rPr>
      </w:pPr>
      <w:r>
        <w:rPr>
          <w:rFonts w:ascii="Arial" w:eastAsia="Arial" w:hAnsi="Arial" w:cs="Arial"/>
          <w:color w:val="000000"/>
          <w:sz w:val="24"/>
          <w:szCs w:val="24"/>
        </w:rPr>
        <w:t xml:space="preserve">Mode </w:t>
      </w:r>
      <w:r>
        <w:rPr>
          <w:rFonts w:ascii="Arial" w:eastAsia="Arial" w:hAnsi="Arial" w:cs="Arial"/>
          <w:b/>
          <w:color w:val="000000"/>
          <w:sz w:val="24"/>
          <w:szCs w:val="24"/>
        </w:rPr>
        <w:t>Sable/Boue</w:t>
      </w:r>
      <w:r>
        <w:rPr>
          <w:rFonts w:ascii="Arial" w:eastAsia="Arial" w:hAnsi="Arial" w:cs="Arial"/>
          <w:color w:val="000000"/>
          <w:sz w:val="24"/>
          <w:szCs w:val="24"/>
        </w:rPr>
        <w:t>, sur les terrains meubles qui nécessitent une meilleure motricité</w:t>
      </w:r>
    </w:p>
    <w:p w14:paraId="5487F99E" w14:textId="77777777" w:rsidR="00C81B1C" w:rsidRDefault="00980B4C">
      <w:pPr>
        <w:pStyle w:val="normal0"/>
        <w:numPr>
          <w:ilvl w:val="0"/>
          <w:numId w:val="1"/>
        </w:numPr>
        <w:pBdr>
          <w:top w:val="nil"/>
          <w:left w:val="nil"/>
          <w:bottom w:val="nil"/>
          <w:right w:val="nil"/>
          <w:between w:val="nil"/>
        </w:pBdr>
        <w:spacing w:line="276" w:lineRule="auto"/>
        <w:jc w:val="both"/>
        <w:rPr>
          <w:color w:val="000000"/>
          <w:sz w:val="24"/>
          <w:szCs w:val="24"/>
        </w:rPr>
      </w:pPr>
      <w:r>
        <w:rPr>
          <w:rFonts w:ascii="Arial" w:eastAsia="Arial" w:hAnsi="Arial" w:cs="Arial"/>
          <w:color w:val="000000"/>
          <w:sz w:val="24"/>
          <w:szCs w:val="24"/>
        </w:rPr>
        <w:t xml:space="preserve">Mode </w:t>
      </w:r>
      <w:r>
        <w:rPr>
          <w:rFonts w:ascii="Arial" w:eastAsia="Arial" w:hAnsi="Arial" w:cs="Arial"/>
          <w:b/>
          <w:color w:val="000000"/>
          <w:sz w:val="24"/>
          <w:szCs w:val="24"/>
        </w:rPr>
        <w:t>Rocheux</w:t>
      </w:r>
      <w:r>
        <w:rPr>
          <w:rFonts w:ascii="Arial" w:eastAsia="Arial" w:hAnsi="Arial" w:cs="Arial"/>
          <w:color w:val="000000"/>
          <w:sz w:val="24"/>
          <w:szCs w:val="24"/>
        </w:rPr>
        <w:t>, spécifiquement pour les terrains accidentés</w:t>
      </w:r>
    </w:p>
    <w:p w14:paraId="7F800C91" w14:textId="77777777" w:rsidR="00C81B1C" w:rsidRDefault="00980B4C">
      <w:pPr>
        <w:pStyle w:val="normal0"/>
        <w:numPr>
          <w:ilvl w:val="0"/>
          <w:numId w:val="1"/>
        </w:numPr>
        <w:pBdr>
          <w:top w:val="nil"/>
          <w:left w:val="nil"/>
          <w:bottom w:val="nil"/>
          <w:right w:val="nil"/>
          <w:between w:val="nil"/>
        </w:pBdr>
        <w:spacing w:line="276" w:lineRule="auto"/>
        <w:jc w:val="both"/>
        <w:rPr>
          <w:color w:val="000000"/>
          <w:sz w:val="24"/>
          <w:szCs w:val="24"/>
        </w:rPr>
      </w:pPr>
      <w:r>
        <w:rPr>
          <w:rFonts w:ascii="Arial" w:eastAsia="Arial" w:hAnsi="Arial" w:cs="Arial"/>
          <w:color w:val="000000"/>
          <w:sz w:val="24"/>
          <w:szCs w:val="24"/>
        </w:rPr>
        <w:t xml:space="preserve">Mode </w:t>
      </w:r>
      <w:r>
        <w:rPr>
          <w:rFonts w:ascii="Arial" w:eastAsia="Arial" w:hAnsi="Arial" w:cs="Arial"/>
          <w:b/>
          <w:color w:val="000000"/>
          <w:sz w:val="24"/>
          <w:szCs w:val="24"/>
        </w:rPr>
        <w:t>Baja</w:t>
      </w:r>
      <w:r>
        <w:rPr>
          <w:rFonts w:ascii="Arial" w:eastAsia="Arial" w:hAnsi="Arial" w:cs="Arial"/>
          <w:color w:val="000000"/>
          <w:sz w:val="24"/>
          <w:szCs w:val="24"/>
        </w:rPr>
        <w:t>, pour une performance ultime hors route à g</w:t>
      </w:r>
      <w:r>
        <w:rPr>
          <w:rFonts w:ascii="Arial" w:eastAsia="Arial" w:hAnsi="Arial" w:cs="Arial"/>
          <w:color w:val="000000"/>
          <w:sz w:val="24"/>
          <w:szCs w:val="24"/>
        </w:rPr>
        <w:t>rande vitesse, à l'image des pilotes sur le célèbre Rallye du désert de Baja.</w:t>
      </w:r>
    </w:p>
    <w:p w14:paraId="6E6F25A3" w14:textId="77777777" w:rsidR="00C81B1C" w:rsidRDefault="00C81B1C">
      <w:pPr>
        <w:pStyle w:val="normal0"/>
        <w:pBdr>
          <w:top w:val="nil"/>
          <w:left w:val="nil"/>
          <w:bottom w:val="nil"/>
          <w:right w:val="nil"/>
          <w:between w:val="nil"/>
        </w:pBdr>
        <w:spacing w:line="276" w:lineRule="auto"/>
        <w:ind w:hanging="720"/>
        <w:jc w:val="both"/>
        <w:rPr>
          <w:rFonts w:ascii="Arial" w:eastAsia="Arial" w:hAnsi="Arial" w:cs="Arial"/>
          <w:color w:val="000000"/>
          <w:sz w:val="24"/>
          <w:szCs w:val="24"/>
        </w:rPr>
      </w:pPr>
    </w:p>
    <w:p w14:paraId="3903CDEF"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Les ingénieurs Ford ont testé dans des conditions extrêmes le puissant moteur bi-turbo de 2.0l du Ranger Raptor et la transmission automatique à 10 vitesses pour évaluer leur du</w:t>
      </w:r>
      <w:r>
        <w:rPr>
          <w:rFonts w:ascii="Arial" w:eastAsia="Arial" w:hAnsi="Arial" w:cs="Arial"/>
          <w:sz w:val="24"/>
          <w:szCs w:val="24"/>
        </w:rPr>
        <w:t>rabilité, y compris la fiabilité des turbocompresseurs haute et basse pression, pendant plus de 200 heures non-stop. Les deux turbocompresseurs fonctionnent en série à des régimes moteur inférieurs pour un couple et une réactivité accrus. À plus haut régim</w:t>
      </w:r>
      <w:r>
        <w:rPr>
          <w:rFonts w:ascii="Arial" w:eastAsia="Arial" w:hAnsi="Arial" w:cs="Arial"/>
          <w:sz w:val="24"/>
          <w:szCs w:val="24"/>
        </w:rPr>
        <w:t>e, le turbocompresseur basse pression plus large fournit une puissance maximale.</w:t>
      </w:r>
    </w:p>
    <w:p w14:paraId="62001D11" w14:textId="77777777" w:rsidR="00C81B1C" w:rsidRDefault="00C81B1C">
      <w:pPr>
        <w:pStyle w:val="normal0"/>
        <w:spacing w:line="276" w:lineRule="auto"/>
        <w:jc w:val="both"/>
        <w:rPr>
          <w:rFonts w:ascii="Arial" w:eastAsia="Arial" w:hAnsi="Arial" w:cs="Arial"/>
          <w:sz w:val="24"/>
          <w:szCs w:val="24"/>
        </w:rPr>
      </w:pPr>
    </w:p>
    <w:p w14:paraId="39680DD0"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 xml:space="preserve">La transmission automatique à 10 vitesses, partagée avec le F-150 Raptor, est conçue à base d'acier haute-résistance, d'alliages d'aluminium et de composites pour optimiser la résistance et le poids. </w:t>
      </w:r>
    </w:p>
    <w:p w14:paraId="67E6A8F8" w14:textId="77777777" w:rsidR="00C81B1C" w:rsidRDefault="00C81B1C">
      <w:pPr>
        <w:pStyle w:val="normal0"/>
        <w:spacing w:line="276" w:lineRule="auto"/>
        <w:jc w:val="both"/>
        <w:rPr>
          <w:rFonts w:ascii="Arial" w:eastAsia="Arial" w:hAnsi="Arial" w:cs="Arial"/>
          <w:sz w:val="24"/>
          <w:szCs w:val="24"/>
        </w:rPr>
      </w:pPr>
    </w:p>
    <w:p w14:paraId="16ED2C14"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Les aides à la conduite et les technologies de sécurit</w:t>
      </w:r>
      <w:r>
        <w:rPr>
          <w:rFonts w:ascii="Arial" w:eastAsia="Arial" w:hAnsi="Arial" w:cs="Arial"/>
          <w:sz w:val="24"/>
          <w:szCs w:val="24"/>
        </w:rPr>
        <w:t>é ont été recalibrées pour répondre aux problématiques inédites de la conduite tout-terrain. Ford a donc élaboré une version améliorée du contrôle de stabilité avec atténuation du roulis, du contrôle de stabilité de la remorque, de l'Aide au démarrage en c</w:t>
      </w:r>
      <w:r>
        <w:rPr>
          <w:rFonts w:ascii="Arial" w:eastAsia="Arial" w:hAnsi="Arial" w:cs="Arial"/>
          <w:sz w:val="24"/>
          <w:szCs w:val="24"/>
        </w:rPr>
        <w:t>ôte, du système de contrôle en descente et du système de contrôle adapté au chargement.</w:t>
      </w:r>
    </w:p>
    <w:p w14:paraId="23C0CA04" w14:textId="77777777" w:rsidR="00C81B1C" w:rsidRDefault="00C81B1C">
      <w:pPr>
        <w:pStyle w:val="normal0"/>
        <w:spacing w:line="276" w:lineRule="auto"/>
        <w:jc w:val="both"/>
        <w:rPr>
          <w:rFonts w:ascii="Arial" w:eastAsia="Arial" w:hAnsi="Arial" w:cs="Arial"/>
          <w:sz w:val="24"/>
          <w:szCs w:val="24"/>
        </w:rPr>
      </w:pPr>
    </w:p>
    <w:p w14:paraId="3612D19F" w14:textId="77777777" w:rsidR="00C81B1C" w:rsidRDefault="00980B4C">
      <w:pPr>
        <w:pStyle w:val="normal0"/>
        <w:spacing w:line="276" w:lineRule="auto"/>
        <w:jc w:val="both"/>
        <w:rPr>
          <w:rFonts w:ascii="Arial" w:eastAsia="Arial" w:hAnsi="Arial" w:cs="Arial"/>
          <w:sz w:val="24"/>
          <w:szCs w:val="24"/>
        </w:rPr>
      </w:pPr>
      <w:r>
        <w:rPr>
          <w:rFonts w:ascii="Arial" w:eastAsia="Arial" w:hAnsi="Arial" w:cs="Arial"/>
          <w:sz w:val="24"/>
          <w:szCs w:val="24"/>
        </w:rPr>
        <w:t xml:space="preserve">Le Ranger Raptor est équipé de série du système multimédia SYNC 3 accessible depuis l’écran tactile 8 pouces et compatible Apple CarPlay et Android Auto. </w:t>
      </w:r>
    </w:p>
    <w:p w14:paraId="0B009642" w14:textId="77777777" w:rsidR="00C81B1C" w:rsidRDefault="00C81B1C">
      <w:pPr>
        <w:pStyle w:val="normal0"/>
        <w:spacing w:line="276" w:lineRule="auto"/>
        <w:jc w:val="both"/>
        <w:rPr>
          <w:rFonts w:ascii="Arial" w:eastAsia="Arial" w:hAnsi="Arial" w:cs="Arial"/>
          <w:b/>
          <w:sz w:val="22"/>
          <w:szCs w:val="22"/>
        </w:rPr>
      </w:pPr>
    </w:p>
    <w:p w14:paraId="30911F1F" w14:textId="77777777" w:rsidR="00C81B1C" w:rsidRDefault="00C81B1C">
      <w:pPr>
        <w:pStyle w:val="normal0"/>
        <w:jc w:val="center"/>
      </w:pPr>
    </w:p>
    <w:p w14:paraId="4A63A421" w14:textId="77777777" w:rsidR="00691EAB" w:rsidRDefault="00980B4C" w:rsidP="00691EAB">
      <w:pPr>
        <w:pStyle w:val="normal0"/>
        <w:jc w:val="center"/>
        <w:rPr>
          <w:rFonts w:ascii="Arial" w:eastAsia="Arial" w:hAnsi="Arial" w:cs="Arial"/>
          <w:color w:val="000000"/>
          <w:sz w:val="18"/>
          <w:szCs w:val="18"/>
        </w:rPr>
      </w:pPr>
      <w:r>
        <w:rPr>
          <w:rFonts w:ascii="Arial" w:eastAsia="Arial" w:hAnsi="Arial" w:cs="Arial"/>
          <w:color w:val="000000"/>
          <w:sz w:val="18"/>
          <w:szCs w:val="18"/>
        </w:rPr>
        <w:t># # #</w:t>
      </w:r>
    </w:p>
    <w:p w14:paraId="6B9C64D8" w14:textId="77777777" w:rsidR="00691EAB" w:rsidRPr="00691EAB" w:rsidRDefault="00691EAB" w:rsidP="00691EAB">
      <w:pPr>
        <w:pStyle w:val="normal0"/>
        <w:jc w:val="center"/>
        <w:rPr>
          <w:rFonts w:ascii="Arial" w:eastAsia="Arial" w:hAnsi="Arial" w:cs="Arial"/>
          <w:color w:val="000000"/>
          <w:sz w:val="18"/>
          <w:szCs w:val="18"/>
        </w:rPr>
      </w:pPr>
    </w:p>
    <w:p w14:paraId="69D5B105" w14:textId="77777777" w:rsidR="00C81B1C" w:rsidRDefault="00C81B1C">
      <w:pPr>
        <w:pStyle w:val="normal0"/>
        <w:rPr>
          <w:rFonts w:ascii="Arial" w:eastAsia="Arial" w:hAnsi="Arial" w:cs="Arial"/>
          <w:sz w:val="18"/>
          <w:szCs w:val="18"/>
        </w:rPr>
      </w:pPr>
      <w:bookmarkStart w:id="1" w:name="_gjdgxs" w:colFirst="0" w:colLast="0"/>
      <w:bookmarkEnd w:id="1"/>
    </w:p>
    <w:p w14:paraId="45F50514" w14:textId="77777777" w:rsidR="00C81B1C" w:rsidRPr="00980B4C" w:rsidRDefault="00980B4C">
      <w:pPr>
        <w:pStyle w:val="normal0"/>
        <w:rPr>
          <w:rFonts w:ascii="Arial" w:eastAsia="Arial" w:hAnsi="Arial" w:cs="Arial"/>
          <w:b/>
          <w:color w:val="000000"/>
          <w:sz w:val="22"/>
          <w:szCs w:val="22"/>
        </w:rPr>
      </w:pPr>
      <w:r w:rsidRPr="00980B4C">
        <w:rPr>
          <w:rFonts w:ascii="Arial" w:eastAsia="Arial" w:hAnsi="Arial" w:cs="Arial"/>
          <w:b/>
          <w:color w:val="000000"/>
          <w:sz w:val="22"/>
          <w:szCs w:val="22"/>
        </w:rPr>
        <w:t>A propos de Ford Motor Company</w:t>
      </w:r>
    </w:p>
    <w:p w14:paraId="63D09832" w14:textId="77777777" w:rsidR="00C81B1C" w:rsidRPr="00980B4C" w:rsidRDefault="00C81B1C">
      <w:pPr>
        <w:pStyle w:val="normal0"/>
        <w:rPr>
          <w:rFonts w:ascii="Arial" w:eastAsia="Arial" w:hAnsi="Arial" w:cs="Arial"/>
          <w:b/>
        </w:rPr>
      </w:pPr>
    </w:p>
    <w:p w14:paraId="546B9E63" w14:textId="77777777" w:rsidR="00C81B1C" w:rsidRPr="00980B4C" w:rsidRDefault="00980B4C">
      <w:pPr>
        <w:pStyle w:val="normal0"/>
        <w:jc w:val="both"/>
        <w:rPr>
          <w:rFonts w:ascii="Arial" w:eastAsia="Arial" w:hAnsi="Arial" w:cs="Arial"/>
          <w:color w:val="0000FF"/>
          <w:sz w:val="22"/>
          <w:szCs w:val="22"/>
          <w:u w:val="single"/>
        </w:rPr>
      </w:pPr>
      <w:r w:rsidRPr="00980B4C">
        <w:rPr>
          <w:rFonts w:ascii="Arial" w:eastAsia="Arial" w:hAnsi="Arial" w:cs="Arial"/>
          <w:sz w:val="22"/>
          <w:szCs w:val="22"/>
        </w:rPr>
        <w:t>Ford Motor Company est une entreprise mondiale basée à Dearborn, Michigan. Ses activités principales incluent le design, la fabrication, le marketing et l'entretien d'une gamme complète de véhicules Ford : voitures, camions,</w:t>
      </w:r>
      <w:r w:rsidRPr="00980B4C">
        <w:rPr>
          <w:rFonts w:ascii="Arial" w:eastAsia="Arial" w:hAnsi="Arial" w:cs="Arial"/>
          <w:sz w:val="22"/>
          <w:szCs w:val="22"/>
        </w:rPr>
        <w:t xml:space="preserve"> SUV, véhicules électriques et les luxueux modèles Lincoln. L’entreprise fournit des services financiers à travers Ford Motor Credit Company et </w:t>
      </w:r>
      <w:r w:rsidRPr="00980B4C">
        <w:rPr>
          <w:rFonts w:ascii="Arial" w:eastAsia="Arial" w:hAnsi="Arial" w:cs="Arial"/>
          <w:sz w:val="22"/>
          <w:szCs w:val="22"/>
        </w:rPr>
        <w:lastRenderedPageBreak/>
        <w:t>continue de maintenir sa position de leader dans les solutions d’électrification et de mobilité dont les véhicul</w:t>
      </w:r>
      <w:r w:rsidRPr="00980B4C">
        <w:rPr>
          <w:rFonts w:ascii="Arial" w:eastAsia="Arial" w:hAnsi="Arial" w:cs="Arial"/>
          <w:sz w:val="22"/>
          <w:szCs w:val="22"/>
        </w:rPr>
        <w:t xml:space="preserve">es autonomes et les services connectés. Ford emploie environ 190 000 employés à travers le monde. Pour plus d’informations sur Ford, ses produits et Ford Motor Credit Company, veuillez visiter : </w:t>
      </w:r>
      <w:hyperlink r:id="rId8">
        <w:r w:rsidRPr="00980B4C">
          <w:rPr>
            <w:rFonts w:ascii="Arial" w:eastAsia="Arial" w:hAnsi="Arial" w:cs="Arial"/>
            <w:color w:val="0000FF"/>
            <w:sz w:val="22"/>
            <w:szCs w:val="22"/>
            <w:u w:val="single"/>
          </w:rPr>
          <w:t>www.corporat</w:t>
        </w:r>
        <w:r w:rsidRPr="00980B4C">
          <w:rPr>
            <w:rFonts w:ascii="Arial" w:eastAsia="Arial" w:hAnsi="Arial" w:cs="Arial"/>
            <w:color w:val="0000FF"/>
            <w:sz w:val="22"/>
            <w:szCs w:val="22"/>
            <w:u w:val="single"/>
          </w:rPr>
          <w:t>e.ford.com</w:t>
        </w:r>
      </w:hyperlink>
    </w:p>
    <w:p w14:paraId="3FA82F34" w14:textId="77777777" w:rsidR="00C81B1C" w:rsidRDefault="00C81B1C">
      <w:pPr>
        <w:pStyle w:val="normal0"/>
        <w:spacing w:before="280" w:after="280" w:line="254" w:lineRule="auto"/>
        <w:jc w:val="both"/>
        <w:rPr>
          <w:rFonts w:ascii="Arial" w:eastAsia="Arial" w:hAnsi="Arial" w:cs="Arial"/>
          <w:sz w:val="22"/>
          <w:szCs w:val="22"/>
          <w:u w:val="single"/>
        </w:rPr>
      </w:pPr>
    </w:p>
    <w:tbl>
      <w:tblPr>
        <w:tblStyle w:val="a"/>
        <w:tblW w:w="9640" w:type="dxa"/>
        <w:tblInd w:w="0" w:type="dxa"/>
        <w:tblLayout w:type="fixed"/>
        <w:tblLook w:val="0000" w:firstRow="0" w:lastRow="0" w:firstColumn="0" w:lastColumn="0" w:noHBand="0" w:noVBand="0"/>
      </w:tblPr>
      <w:tblGrid>
        <w:gridCol w:w="2110"/>
        <w:gridCol w:w="3959"/>
        <w:gridCol w:w="3571"/>
      </w:tblGrid>
      <w:tr w:rsidR="00C81B1C" w14:paraId="6456CD5C" w14:textId="77777777">
        <w:trPr>
          <w:gridAfter w:val="2"/>
          <w:wAfter w:w="7530" w:type="dxa"/>
          <w:trHeight w:val="395"/>
        </w:trPr>
        <w:tc>
          <w:tcPr>
            <w:tcW w:w="2110" w:type="dxa"/>
          </w:tcPr>
          <w:p w14:paraId="3227C5AB" w14:textId="77777777" w:rsidR="00C81B1C" w:rsidRDefault="00980B4C">
            <w:pPr>
              <w:pStyle w:val="normal0"/>
              <w:rPr>
                <w:rFonts w:ascii="Arial" w:eastAsia="Arial" w:hAnsi="Arial" w:cs="Arial"/>
                <w:b/>
                <w:sz w:val="22"/>
                <w:szCs w:val="22"/>
              </w:rPr>
            </w:pPr>
            <w:r>
              <w:rPr>
                <w:rFonts w:ascii="Arial" w:eastAsia="Arial" w:hAnsi="Arial" w:cs="Arial"/>
                <w:b/>
                <w:sz w:val="22"/>
                <w:szCs w:val="22"/>
              </w:rPr>
              <w:t>Contacts :</w:t>
            </w:r>
          </w:p>
          <w:p w14:paraId="3AD6FA8D" w14:textId="77777777" w:rsidR="00C81B1C" w:rsidRDefault="00C81B1C">
            <w:pPr>
              <w:pStyle w:val="normal0"/>
              <w:rPr>
                <w:rFonts w:ascii="Arial" w:eastAsia="Arial" w:hAnsi="Arial" w:cs="Arial"/>
                <w:sz w:val="22"/>
                <w:szCs w:val="22"/>
              </w:rPr>
            </w:pPr>
          </w:p>
        </w:tc>
      </w:tr>
      <w:tr w:rsidR="00C81B1C" w14:paraId="647E6047" w14:textId="77777777">
        <w:trPr>
          <w:trHeight w:val="1465"/>
        </w:trPr>
        <w:tc>
          <w:tcPr>
            <w:tcW w:w="6069" w:type="dxa"/>
            <w:gridSpan w:val="2"/>
          </w:tcPr>
          <w:p w14:paraId="71112FF7" w14:textId="77777777" w:rsidR="00C81B1C" w:rsidRDefault="00980B4C">
            <w:pPr>
              <w:pStyle w:val="normal0"/>
              <w:rPr>
                <w:rFonts w:ascii="Arial" w:eastAsia="Arial" w:hAnsi="Arial" w:cs="Arial"/>
                <w:b/>
                <w:sz w:val="22"/>
                <w:szCs w:val="22"/>
              </w:rPr>
            </w:pPr>
            <w:r>
              <w:rPr>
                <w:rFonts w:ascii="Arial" w:eastAsia="Arial" w:hAnsi="Arial" w:cs="Arial"/>
                <w:b/>
                <w:sz w:val="22"/>
                <w:szCs w:val="22"/>
              </w:rPr>
              <w:t>Hajar Dinar</w:t>
            </w:r>
          </w:p>
          <w:p w14:paraId="3B6A0600" w14:textId="77777777" w:rsidR="00C81B1C" w:rsidRDefault="00980B4C">
            <w:pPr>
              <w:pStyle w:val="normal0"/>
              <w:rPr>
                <w:rFonts w:ascii="Arial" w:eastAsia="Arial" w:hAnsi="Arial" w:cs="Arial"/>
                <w:sz w:val="22"/>
                <w:szCs w:val="22"/>
              </w:rPr>
            </w:pPr>
            <w:r>
              <w:rPr>
                <w:rFonts w:ascii="Arial" w:eastAsia="Arial" w:hAnsi="Arial" w:cs="Arial"/>
                <w:sz w:val="22"/>
                <w:szCs w:val="22"/>
              </w:rPr>
              <w:t>Communications Afrique du Nord et Afrique Subsaharienne</w:t>
            </w:r>
          </w:p>
          <w:p w14:paraId="6D74FDCC" w14:textId="77777777" w:rsidR="00C81B1C" w:rsidRDefault="00980B4C">
            <w:pPr>
              <w:pStyle w:val="normal0"/>
              <w:rPr>
                <w:rFonts w:ascii="Arial" w:eastAsia="Arial" w:hAnsi="Arial" w:cs="Arial"/>
                <w:sz w:val="22"/>
                <w:szCs w:val="22"/>
              </w:rPr>
            </w:pPr>
            <w:r>
              <w:rPr>
                <w:rFonts w:ascii="Arial" w:eastAsia="Arial" w:hAnsi="Arial" w:cs="Arial"/>
                <w:sz w:val="22"/>
                <w:szCs w:val="22"/>
              </w:rPr>
              <w:t>Ford Directs Markets</w:t>
            </w:r>
          </w:p>
          <w:p w14:paraId="3C39661C" w14:textId="77777777" w:rsidR="00C81B1C" w:rsidRDefault="00980B4C">
            <w:pPr>
              <w:pStyle w:val="normal0"/>
              <w:rPr>
                <w:rFonts w:ascii="Arial" w:eastAsia="Arial" w:hAnsi="Arial" w:cs="Arial"/>
                <w:sz w:val="22"/>
                <w:szCs w:val="22"/>
              </w:rPr>
            </w:pPr>
            <w:r>
              <w:rPr>
                <w:rFonts w:ascii="Arial" w:eastAsia="Arial" w:hAnsi="Arial" w:cs="Arial"/>
                <w:sz w:val="22"/>
                <w:szCs w:val="22"/>
              </w:rPr>
              <w:t>+212 666 963 665</w:t>
            </w:r>
          </w:p>
          <w:p w14:paraId="010F0256" w14:textId="77777777" w:rsidR="00C81B1C" w:rsidRDefault="00980B4C">
            <w:pPr>
              <w:pStyle w:val="normal0"/>
              <w:rPr>
                <w:rFonts w:ascii="Arial" w:eastAsia="Arial" w:hAnsi="Arial" w:cs="Arial"/>
                <w:sz w:val="22"/>
                <w:szCs w:val="22"/>
                <w:u w:val="single"/>
              </w:rPr>
            </w:pPr>
            <w:r>
              <w:rPr>
                <w:rFonts w:ascii="Arial" w:eastAsia="Arial" w:hAnsi="Arial" w:cs="Arial"/>
                <w:color w:val="0000FF"/>
                <w:sz w:val="22"/>
                <w:szCs w:val="22"/>
                <w:u w:val="single"/>
              </w:rPr>
              <w:t>hdinar@ford.com</w:t>
            </w:r>
          </w:p>
        </w:tc>
        <w:tc>
          <w:tcPr>
            <w:tcW w:w="3571" w:type="dxa"/>
          </w:tcPr>
          <w:p w14:paraId="37D95FA1" w14:textId="77777777" w:rsidR="00C81B1C" w:rsidRDefault="00980B4C">
            <w:pPr>
              <w:pStyle w:val="normal0"/>
              <w:rPr>
                <w:rFonts w:ascii="Arial" w:eastAsia="Arial" w:hAnsi="Arial" w:cs="Arial"/>
                <w:b/>
                <w:sz w:val="22"/>
                <w:szCs w:val="22"/>
              </w:rPr>
            </w:pPr>
            <w:r>
              <w:rPr>
                <w:rFonts w:ascii="Arial" w:eastAsia="Arial" w:hAnsi="Arial" w:cs="Arial"/>
                <w:b/>
                <w:sz w:val="22"/>
                <w:szCs w:val="22"/>
              </w:rPr>
              <w:t>Sara Ouafir</w:t>
            </w:r>
          </w:p>
          <w:p w14:paraId="29367AC8" w14:textId="77777777" w:rsidR="00C81B1C" w:rsidRDefault="00980B4C">
            <w:pPr>
              <w:pStyle w:val="normal0"/>
              <w:rPr>
                <w:rFonts w:ascii="Arial" w:eastAsia="Arial" w:hAnsi="Arial" w:cs="Arial"/>
                <w:sz w:val="22"/>
                <w:szCs w:val="22"/>
              </w:rPr>
            </w:pPr>
            <w:r>
              <w:rPr>
                <w:rFonts w:ascii="Arial" w:eastAsia="Arial" w:hAnsi="Arial" w:cs="Arial"/>
                <w:sz w:val="22"/>
                <w:szCs w:val="22"/>
              </w:rPr>
              <w:t>PR Media</w:t>
            </w:r>
          </w:p>
          <w:p w14:paraId="2A11210D" w14:textId="77777777" w:rsidR="00C81B1C" w:rsidRDefault="00980B4C">
            <w:pPr>
              <w:pStyle w:val="normal0"/>
              <w:rPr>
                <w:rFonts w:ascii="Arial" w:eastAsia="Arial" w:hAnsi="Arial" w:cs="Arial"/>
                <w:sz w:val="22"/>
                <w:szCs w:val="22"/>
              </w:rPr>
            </w:pPr>
            <w:r>
              <w:rPr>
                <w:rFonts w:ascii="Arial" w:eastAsia="Arial" w:hAnsi="Arial" w:cs="Arial"/>
                <w:sz w:val="22"/>
                <w:szCs w:val="22"/>
              </w:rPr>
              <w:t>+212 661 097 593</w:t>
            </w:r>
          </w:p>
          <w:p w14:paraId="6E2DB3C1" w14:textId="77777777" w:rsidR="00C81B1C" w:rsidRDefault="00980B4C">
            <w:pPr>
              <w:pStyle w:val="normal0"/>
              <w:rPr>
                <w:rFonts w:ascii="Arial" w:eastAsia="Arial" w:hAnsi="Arial" w:cs="Arial"/>
                <w:sz w:val="22"/>
                <w:szCs w:val="22"/>
              </w:rPr>
            </w:pPr>
            <w:hyperlink r:id="rId9">
              <w:r>
                <w:rPr>
                  <w:rFonts w:ascii="Arial" w:eastAsia="Arial" w:hAnsi="Arial" w:cs="Arial"/>
                  <w:color w:val="0000FF"/>
                  <w:sz w:val="22"/>
                  <w:szCs w:val="22"/>
                  <w:u w:val="single"/>
                </w:rPr>
                <w:t>sara.ouafir@prmediacom.com</w:t>
              </w:r>
            </w:hyperlink>
          </w:p>
          <w:p w14:paraId="6A55F09E" w14:textId="77777777" w:rsidR="00C81B1C" w:rsidRDefault="00C81B1C">
            <w:pPr>
              <w:pStyle w:val="normal0"/>
              <w:rPr>
                <w:rFonts w:ascii="Arial" w:eastAsia="Arial" w:hAnsi="Arial" w:cs="Arial"/>
                <w:b/>
                <w:sz w:val="22"/>
                <w:szCs w:val="22"/>
              </w:rPr>
            </w:pPr>
          </w:p>
          <w:p w14:paraId="7DFCC0D3" w14:textId="77777777" w:rsidR="00C81B1C" w:rsidRDefault="00C81B1C">
            <w:pPr>
              <w:pStyle w:val="normal0"/>
              <w:rPr>
                <w:rFonts w:ascii="Arial" w:eastAsia="Arial" w:hAnsi="Arial" w:cs="Arial"/>
                <w:sz w:val="22"/>
                <w:szCs w:val="22"/>
              </w:rPr>
            </w:pPr>
          </w:p>
        </w:tc>
      </w:tr>
    </w:tbl>
    <w:p w14:paraId="5F4066EC" w14:textId="77777777" w:rsidR="00C81B1C" w:rsidRDefault="00C81B1C">
      <w:pPr>
        <w:pStyle w:val="normal0"/>
        <w:spacing w:after="160" w:line="259" w:lineRule="auto"/>
        <w:rPr>
          <w:rFonts w:ascii="Arial" w:eastAsia="Arial" w:hAnsi="Arial" w:cs="Arial"/>
        </w:rPr>
      </w:pPr>
    </w:p>
    <w:tbl>
      <w:tblPr>
        <w:tblStyle w:val="a0"/>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39"/>
        <w:gridCol w:w="4277"/>
        <w:gridCol w:w="3144"/>
      </w:tblGrid>
      <w:tr w:rsidR="00C81B1C" w14:paraId="591278E8" w14:textId="77777777">
        <w:trPr>
          <w:trHeight w:val="680"/>
        </w:trPr>
        <w:tc>
          <w:tcPr>
            <w:tcW w:w="1939" w:type="dxa"/>
            <w:tcBorders>
              <w:top w:val="nil"/>
              <w:left w:val="nil"/>
              <w:bottom w:val="nil"/>
              <w:right w:val="nil"/>
            </w:tcBorders>
            <w:tcMar>
              <w:top w:w="100" w:type="dxa"/>
              <w:left w:w="100" w:type="dxa"/>
              <w:bottom w:w="100" w:type="dxa"/>
              <w:right w:w="100" w:type="dxa"/>
            </w:tcMar>
          </w:tcPr>
          <w:p w14:paraId="44B9517D" w14:textId="77777777" w:rsidR="00C81B1C" w:rsidRDefault="00C81B1C">
            <w:pPr>
              <w:pStyle w:val="normal0"/>
              <w:spacing w:line="276" w:lineRule="auto"/>
              <w:rPr>
                <w:rFonts w:ascii="Arial" w:eastAsia="Arial" w:hAnsi="Arial" w:cs="Arial"/>
                <w:b/>
                <w:i/>
                <w:color w:val="0000FF"/>
                <w:sz w:val="22"/>
                <w:szCs w:val="22"/>
                <w:u w:val="single"/>
              </w:rPr>
            </w:pPr>
          </w:p>
        </w:tc>
        <w:tc>
          <w:tcPr>
            <w:tcW w:w="7419" w:type="dxa"/>
            <w:gridSpan w:val="2"/>
            <w:tcBorders>
              <w:top w:val="nil"/>
              <w:left w:val="nil"/>
              <w:bottom w:val="nil"/>
              <w:right w:val="nil"/>
            </w:tcBorders>
            <w:tcMar>
              <w:top w:w="100" w:type="dxa"/>
              <w:left w:w="100" w:type="dxa"/>
              <w:bottom w:w="100" w:type="dxa"/>
              <w:right w:w="100" w:type="dxa"/>
            </w:tcMar>
          </w:tcPr>
          <w:p w14:paraId="1477F584" w14:textId="77777777" w:rsidR="00C81B1C" w:rsidRDefault="00C81B1C">
            <w:pPr>
              <w:pStyle w:val="normal0"/>
              <w:spacing w:after="160" w:line="256" w:lineRule="auto"/>
              <w:rPr>
                <w:rFonts w:ascii="Calibri" w:eastAsia="Calibri" w:hAnsi="Calibri" w:cs="Calibri"/>
                <w:b/>
                <w:i/>
                <w:color w:val="0000FF"/>
                <w:sz w:val="22"/>
                <w:szCs w:val="22"/>
                <w:u w:val="single"/>
              </w:rPr>
            </w:pPr>
          </w:p>
        </w:tc>
      </w:tr>
      <w:tr w:rsidR="00C81B1C" w14:paraId="2066E039" w14:textId="77777777">
        <w:trPr>
          <w:trHeight w:val="3020"/>
        </w:trPr>
        <w:tc>
          <w:tcPr>
            <w:tcW w:w="6215" w:type="dxa"/>
            <w:gridSpan w:val="2"/>
            <w:tcBorders>
              <w:top w:val="nil"/>
              <w:left w:val="nil"/>
              <w:bottom w:val="nil"/>
              <w:right w:val="nil"/>
            </w:tcBorders>
            <w:shd w:val="clear" w:color="auto" w:fill="auto"/>
            <w:tcMar>
              <w:top w:w="100" w:type="dxa"/>
              <w:left w:w="100" w:type="dxa"/>
              <w:bottom w:w="100" w:type="dxa"/>
              <w:right w:w="100" w:type="dxa"/>
            </w:tcMar>
          </w:tcPr>
          <w:p w14:paraId="34B53FB6" w14:textId="77777777" w:rsidR="00C81B1C" w:rsidRDefault="00C81B1C">
            <w:pPr>
              <w:pStyle w:val="normal0"/>
              <w:spacing w:before="280" w:after="160" w:line="252" w:lineRule="auto"/>
              <w:rPr>
                <w:rFonts w:ascii="Arial" w:eastAsia="Arial" w:hAnsi="Arial" w:cs="Arial"/>
                <w:b/>
                <w:i/>
                <w:color w:val="0000FF"/>
                <w:sz w:val="22"/>
                <w:szCs w:val="22"/>
                <w:u w:val="single"/>
              </w:rPr>
            </w:pPr>
          </w:p>
        </w:tc>
        <w:tc>
          <w:tcPr>
            <w:tcW w:w="3143" w:type="dxa"/>
            <w:tcBorders>
              <w:top w:val="nil"/>
              <w:left w:val="nil"/>
              <w:bottom w:val="nil"/>
              <w:right w:val="nil"/>
            </w:tcBorders>
            <w:shd w:val="clear" w:color="auto" w:fill="auto"/>
            <w:tcMar>
              <w:top w:w="100" w:type="dxa"/>
              <w:left w:w="100" w:type="dxa"/>
              <w:bottom w:w="100" w:type="dxa"/>
              <w:right w:w="100" w:type="dxa"/>
            </w:tcMar>
          </w:tcPr>
          <w:p w14:paraId="285A0462" w14:textId="77777777" w:rsidR="00C81B1C" w:rsidRDefault="00C81B1C">
            <w:pPr>
              <w:pStyle w:val="normal0"/>
              <w:spacing w:line="276" w:lineRule="auto"/>
              <w:rPr>
                <w:rFonts w:ascii="Arial" w:eastAsia="Arial" w:hAnsi="Arial" w:cs="Arial"/>
                <w:b/>
                <w:i/>
                <w:color w:val="0000FF"/>
                <w:sz w:val="22"/>
                <w:szCs w:val="22"/>
                <w:u w:val="single"/>
              </w:rPr>
            </w:pPr>
          </w:p>
        </w:tc>
      </w:tr>
    </w:tbl>
    <w:p w14:paraId="25B49C29" w14:textId="77777777" w:rsidR="00C81B1C" w:rsidRDefault="00980B4C">
      <w:pPr>
        <w:pStyle w:val="normal0"/>
        <w:rPr>
          <w:rFonts w:ascii="Arial" w:eastAsia="Arial" w:hAnsi="Arial" w:cs="Arial"/>
          <w:color w:val="000000"/>
          <w:sz w:val="22"/>
          <w:szCs w:val="22"/>
        </w:rPr>
      </w:pPr>
      <w:r>
        <w:rPr>
          <w:rFonts w:ascii="Arial" w:eastAsia="Arial" w:hAnsi="Arial" w:cs="Arial"/>
          <w:b/>
          <w:i/>
          <w:color w:val="0000FF"/>
          <w:u w:val="single"/>
        </w:rPr>
        <w:t xml:space="preserve"> </w:t>
      </w:r>
    </w:p>
    <w:sectPr w:rsidR="00C81B1C">
      <w:footerReference w:type="even" r:id="rId10"/>
      <w:footerReference w:type="default" r:id="rId11"/>
      <w:headerReference w:type="first" r:id="rId12"/>
      <w:footerReference w:type="first" r:id="rId13"/>
      <w:pgSz w:w="12240" w:h="15840"/>
      <w:pgMar w:top="1440" w:right="1440" w:bottom="864" w:left="1440" w:header="720" w:footer="432"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5DC0B" w14:textId="77777777" w:rsidR="00000000" w:rsidRDefault="00980B4C">
      <w:r>
        <w:separator/>
      </w:r>
    </w:p>
  </w:endnote>
  <w:endnote w:type="continuationSeparator" w:id="0">
    <w:p w14:paraId="626A6B56" w14:textId="77777777" w:rsidR="00000000" w:rsidRDefault="0098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1E8C9" w14:textId="77777777" w:rsidR="00C81B1C" w:rsidRDefault="00980B4C">
    <w:pPr>
      <w:pStyle w:val="normal0"/>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85C65F3" w14:textId="77777777" w:rsidR="00C81B1C" w:rsidRDefault="00C81B1C">
    <w:pPr>
      <w:pStyle w:val="normal0"/>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6653B" w14:textId="77777777" w:rsidR="00C81B1C" w:rsidRDefault="00980B4C">
    <w:pPr>
      <w:pStyle w:val="normal0"/>
      <w:tabs>
        <w:tab w:val="center" w:pos="4513"/>
      </w:tabs>
      <w:rPr>
        <w:color w:val="000000"/>
        <w:sz w:val="22"/>
        <w:szCs w:val="22"/>
      </w:rPr>
    </w:pPr>
    <w:r>
      <w:rPr>
        <w:rFonts w:ascii="Arial" w:eastAsia="Arial" w:hAnsi="Arial" w:cs="Arial"/>
        <w:sz w:val="22"/>
        <w:szCs w:val="22"/>
      </w:rPr>
      <w:t xml:space="preserve">Pour les communiqués de presse, les matériels afférents et les photos et vidéos en haute résolution, veuillez visiter :  </w:t>
    </w:r>
    <w:hyperlink r:id="rId1">
      <w:r>
        <w:rPr>
          <w:rFonts w:ascii="Arial" w:eastAsia="Arial" w:hAnsi="Arial" w:cs="Arial"/>
          <w:color w:val="0000FF"/>
          <w:sz w:val="22"/>
          <w:szCs w:val="22"/>
          <w:u w:val="single"/>
        </w:rPr>
        <w:t>www.media.ford.com</w:t>
      </w:r>
    </w:hyperlink>
    <w:r>
      <w:rPr>
        <w:rFonts w:ascii="Arial" w:eastAsia="Arial" w:hAnsi="Arial" w:cs="Arial"/>
        <w:sz w:val="16"/>
        <w:szCs w:val="16"/>
      </w:rPr>
      <w:br/>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8D068" w14:textId="77777777" w:rsidR="00C81B1C" w:rsidRDefault="00C81B1C">
    <w:pPr>
      <w:pStyle w:val="normal0"/>
      <w:pBdr>
        <w:top w:val="nil"/>
        <w:left w:val="nil"/>
        <w:bottom w:val="nil"/>
        <w:right w:val="nil"/>
        <w:between w:val="nil"/>
      </w:pBdr>
      <w:tabs>
        <w:tab w:val="center" w:pos="4320"/>
        <w:tab w:val="right" w:pos="8640"/>
      </w:tabs>
      <w:jc w:val="center"/>
      <w:rPr>
        <w:color w:val="000000"/>
      </w:rPr>
    </w:pPr>
  </w:p>
  <w:p w14:paraId="723FEF6F" w14:textId="77777777" w:rsidR="00C81B1C" w:rsidRDefault="00C81B1C">
    <w:pPr>
      <w:pStyle w:val="normal0"/>
      <w:pBdr>
        <w:top w:val="nil"/>
        <w:left w:val="nil"/>
        <w:bottom w:val="nil"/>
        <w:right w:val="nil"/>
        <w:between w:val="nil"/>
      </w:pBdr>
      <w:tabs>
        <w:tab w:val="center" w:pos="4320"/>
        <w:tab w:val="right" w:pos="8640"/>
      </w:tabs>
      <w:jc w:val="center"/>
      <w:rPr>
        <w:color w:val="000000"/>
      </w:rPr>
    </w:pPr>
  </w:p>
  <w:p w14:paraId="19D1645F" w14:textId="77777777" w:rsidR="00C81B1C" w:rsidRDefault="00C81B1C">
    <w:pPr>
      <w:pStyle w:val="normal0"/>
      <w:rPr>
        <w:rFonts w:ascii="Arial" w:eastAsia="Arial" w:hAnsi="Arial" w:cs="Arial"/>
        <w:color w:val="000000"/>
      </w:rPr>
    </w:pPr>
    <w:bookmarkStart w:id="3" w:name="_1fob9te" w:colFirst="0" w:colLast="0"/>
    <w:bookmarkEnd w:id="3"/>
  </w:p>
  <w:p w14:paraId="11044B7C" w14:textId="77777777" w:rsidR="00C81B1C" w:rsidRDefault="00980B4C">
    <w:pPr>
      <w:pStyle w:val="normal0"/>
      <w:pBdr>
        <w:top w:val="nil"/>
        <w:left w:val="nil"/>
        <w:bottom w:val="nil"/>
        <w:right w:val="nil"/>
        <w:between w:val="nil"/>
      </w:pBdr>
      <w:tabs>
        <w:tab w:val="center" w:pos="4513"/>
      </w:tabs>
      <w:rPr>
        <w:rFonts w:ascii="Arial" w:eastAsia="Arial" w:hAnsi="Arial" w:cs="Arial"/>
        <w:color w:val="000000"/>
        <w:sz w:val="16"/>
        <w:szCs w:val="16"/>
      </w:rPr>
    </w:pPr>
    <w:r>
      <w:rPr>
        <w:rFonts w:ascii="Arial" w:eastAsia="Arial" w:hAnsi="Arial" w:cs="Arial"/>
        <w:color w:val="000000"/>
        <w:sz w:val="22"/>
        <w:szCs w:val="22"/>
      </w:rPr>
      <w:t>Pour les communiqués de presse, les matériels afférents et les photos</w:t>
    </w:r>
    <w:r>
      <w:rPr>
        <w:rFonts w:ascii="Arial" w:eastAsia="Arial" w:hAnsi="Arial" w:cs="Arial"/>
        <w:sz w:val="22"/>
        <w:szCs w:val="22"/>
      </w:rPr>
      <w:t xml:space="preserve"> et </w:t>
    </w:r>
    <w:r>
      <w:rPr>
        <w:rFonts w:ascii="Arial" w:eastAsia="Arial" w:hAnsi="Arial" w:cs="Arial"/>
        <w:color w:val="000000"/>
        <w:sz w:val="22"/>
        <w:szCs w:val="22"/>
      </w:rPr>
      <w:t xml:space="preserve">vidéos en haute résolution, </w:t>
    </w:r>
    <w:r>
      <w:rPr>
        <w:rFonts w:ascii="Arial" w:eastAsia="Arial" w:hAnsi="Arial" w:cs="Arial"/>
        <w:sz w:val="22"/>
        <w:szCs w:val="22"/>
      </w:rPr>
      <w:t xml:space="preserve">veuillez visiter : </w:t>
    </w:r>
    <w:r>
      <w:rPr>
        <w:rFonts w:ascii="Arial" w:eastAsia="Arial" w:hAnsi="Arial" w:cs="Arial"/>
        <w:color w:val="000000"/>
        <w:sz w:val="22"/>
        <w:szCs w:val="22"/>
      </w:rPr>
      <w:t xml:space="preserve"> </w:t>
    </w:r>
    <w:hyperlink r:id="rId1">
      <w:r>
        <w:rPr>
          <w:rFonts w:ascii="Arial" w:eastAsia="Arial" w:hAnsi="Arial" w:cs="Arial"/>
          <w:color w:val="0000FF"/>
          <w:sz w:val="22"/>
          <w:szCs w:val="22"/>
          <w:u w:val="single"/>
        </w:rPr>
        <w:t>www.media.ford.com</w:t>
      </w:r>
    </w:hyperlink>
    <w:r>
      <w:rPr>
        <w:rFonts w:ascii="Arial" w:eastAsia="Arial" w:hAnsi="Arial" w:cs="Arial"/>
        <w:color w:val="000000"/>
        <w:sz w:val="16"/>
        <w:szCs w:val="16"/>
      </w:rPr>
      <w:br/>
    </w:r>
  </w:p>
  <w:p w14:paraId="6CD085A6" w14:textId="77777777" w:rsidR="00C81B1C" w:rsidRDefault="00C81B1C">
    <w:pPr>
      <w:pStyle w:val="normal0"/>
      <w:jc w:val="center"/>
      <w:rPr>
        <w:rFonts w:ascii="Arial" w:eastAsia="Arial" w:hAnsi="Arial"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7A63E" w14:textId="77777777" w:rsidR="00000000" w:rsidRDefault="00980B4C">
      <w:r>
        <w:separator/>
      </w:r>
    </w:p>
  </w:footnote>
  <w:footnote w:type="continuationSeparator" w:id="0">
    <w:p w14:paraId="69F9950B" w14:textId="77777777" w:rsidR="00000000" w:rsidRDefault="00980B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C961C" w14:textId="77777777" w:rsidR="00C81B1C" w:rsidRDefault="00980B4C">
    <w:pPr>
      <w:pStyle w:val="normal0"/>
      <w:pBdr>
        <w:top w:val="nil"/>
        <w:left w:val="nil"/>
        <w:bottom w:val="nil"/>
        <w:right w:val="nil"/>
        <w:between w:val="nil"/>
      </w:pBdr>
      <w:tabs>
        <w:tab w:val="left" w:pos="1483"/>
      </w:tabs>
      <w:ind w:left="360"/>
      <w:rPr>
        <w:color w:val="000000"/>
      </w:rPr>
    </w:pPr>
    <w:bookmarkStart w:id="2" w:name="_30j0zll" w:colFirst="0" w:colLast="0"/>
    <w:bookmarkEnd w:id="2"/>
    <w:r>
      <w:rPr>
        <w:rFonts w:ascii="Book Antiqua" w:eastAsia="Book Antiqua" w:hAnsi="Book Antiqua" w:cs="Book Antiqua"/>
        <w:smallCaps/>
        <w:color w:val="000000"/>
        <w:sz w:val="48"/>
        <w:szCs w:val="48"/>
      </w:rPr>
      <w:t xml:space="preserve">                 </w:t>
    </w:r>
    <w:r>
      <w:rPr>
        <w:rFonts w:ascii="Book Antiqua" w:eastAsia="Book Antiqua" w:hAnsi="Book Antiqua" w:cs="Book Antiqua"/>
        <w:smallCaps/>
        <w:color w:val="000000"/>
        <w:sz w:val="48"/>
        <w:szCs w:val="48"/>
      </w:rPr>
      <w:t xml:space="preserve">News </w:t>
    </w:r>
    <w:r>
      <w:rPr>
        <w:rFonts w:ascii="Book Antiqua" w:eastAsia="Book Antiqua" w:hAnsi="Book Antiqua" w:cs="Book Antiqua"/>
        <w:smallCaps/>
        <w:color w:val="000000"/>
        <w:sz w:val="48"/>
        <w:szCs w:val="48"/>
      </w:rPr>
      <w:tab/>
    </w:r>
    <w:r>
      <w:rPr>
        <w:rFonts w:ascii="Book Antiqua" w:eastAsia="Book Antiqua" w:hAnsi="Book Antiqua" w:cs="Book Antiqua"/>
        <w:smallCaps/>
        <w:color w:val="000000"/>
        <w:sz w:val="48"/>
        <w:szCs w:val="48"/>
      </w:rPr>
      <w:tab/>
    </w:r>
    <w:r>
      <w:rPr>
        <w:noProof/>
        <w:lang w:val="fr-FR"/>
      </w:rPr>
      <mc:AlternateContent>
        <mc:Choice Requires="wpg">
          <w:drawing>
            <wp:anchor distT="0" distB="0" distL="114300" distR="114300" simplePos="0" relativeHeight="251658240" behindDoc="0" locked="0" layoutInCell="1" hidden="0" allowOverlap="1" wp14:anchorId="09219C06" wp14:editId="696B3EC3">
              <wp:simplePos x="0" y="0"/>
              <wp:positionH relativeFrom="column">
                <wp:posOffset>1054100</wp:posOffset>
              </wp:positionH>
              <wp:positionV relativeFrom="paragraph">
                <wp:posOffset>76200</wp:posOffset>
              </wp:positionV>
              <wp:extent cx="12700" cy="228600"/>
              <wp:effectExtent l="0" t="0" r="0" b="0"/>
              <wp:wrapNone/>
              <wp:docPr id="1" name=""/>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76200</wp:posOffset>
              </wp:positionV>
              <wp:extent cx="12700" cy="2286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228600"/>
                      </a:xfrm>
                      <a:prstGeom prst="rect"/>
                      <a:ln/>
                    </pic:spPr>
                  </pic:pic>
                </a:graphicData>
              </a:graphic>
            </wp:anchor>
          </w:drawing>
        </mc:Fallback>
      </mc:AlternateContent>
    </w:r>
    <w:r>
      <w:rPr>
        <w:noProof/>
        <w:lang w:val="fr-FR"/>
      </w:rPr>
      <w:drawing>
        <wp:anchor distT="0" distB="0" distL="114300" distR="114300" simplePos="0" relativeHeight="251659264" behindDoc="0" locked="0" layoutInCell="1" hidden="0" allowOverlap="1" wp14:anchorId="52539B9A" wp14:editId="6C8537D6">
          <wp:simplePos x="0" y="0"/>
          <wp:positionH relativeFrom="column">
            <wp:posOffset>69851</wp:posOffset>
          </wp:positionH>
          <wp:positionV relativeFrom="paragraph">
            <wp:posOffset>34290</wp:posOffset>
          </wp:positionV>
          <wp:extent cx="800100" cy="31432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915FB"/>
    <w:multiLevelType w:val="multilevel"/>
    <w:tmpl w:val="0406CC1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81B1C"/>
    <w:rsid w:val="00691EAB"/>
    <w:rsid w:val="00980B4C"/>
    <w:rsid w:val="00C81B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21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sz w:val="24"/>
      <w:szCs w:val="24"/>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b/>
      <w:sz w:val="72"/>
      <w:szCs w:val="72"/>
    </w:rPr>
  </w:style>
  <w:style w:type="paragraph" w:styleId="Sous-titr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480" w:after="120"/>
      <w:outlineLvl w:val="0"/>
    </w:pPr>
    <w:rPr>
      <w:b/>
      <w:sz w:val="48"/>
      <w:szCs w:val="48"/>
    </w:rPr>
  </w:style>
  <w:style w:type="paragraph" w:styleId="Titre2">
    <w:name w:val="heading 2"/>
    <w:basedOn w:val="normal0"/>
    <w:next w:val="normal0"/>
    <w:pPr>
      <w:keepNext/>
      <w:keepLines/>
      <w:spacing w:before="360" w:after="80"/>
      <w:outlineLvl w:val="1"/>
    </w:pPr>
    <w:rPr>
      <w:b/>
      <w:sz w:val="36"/>
      <w:szCs w:val="36"/>
    </w:rPr>
  </w:style>
  <w:style w:type="paragraph" w:styleId="Titre3">
    <w:name w:val="heading 3"/>
    <w:basedOn w:val="normal0"/>
    <w:next w:val="normal0"/>
    <w:pPr>
      <w:keepNext/>
      <w:keepLines/>
      <w:spacing w:before="280" w:after="80"/>
      <w:outlineLvl w:val="2"/>
    </w:pPr>
    <w:rPr>
      <w:b/>
      <w:sz w:val="28"/>
      <w:szCs w:val="28"/>
    </w:rPr>
  </w:style>
  <w:style w:type="paragraph" w:styleId="Titre4">
    <w:name w:val="heading 4"/>
    <w:basedOn w:val="normal0"/>
    <w:next w:val="normal0"/>
    <w:pPr>
      <w:keepNext/>
      <w:keepLines/>
      <w:spacing w:before="240" w:after="40"/>
      <w:outlineLvl w:val="3"/>
    </w:pPr>
    <w:rPr>
      <w:b/>
      <w:sz w:val="24"/>
      <w:szCs w:val="24"/>
    </w:rPr>
  </w:style>
  <w:style w:type="paragraph" w:styleId="Titre5">
    <w:name w:val="heading 5"/>
    <w:basedOn w:val="normal0"/>
    <w:next w:val="normal0"/>
    <w:pPr>
      <w:keepNext/>
      <w:keepLines/>
      <w:spacing w:before="220" w:after="40"/>
      <w:outlineLvl w:val="4"/>
    </w:pPr>
    <w:rPr>
      <w:b/>
      <w:sz w:val="22"/>
      <w:szCs w:val="22"/>
    </w:rPr>
  </w:style>
  <w:style w:type="paragraph" w:styleId="Titre6">
    <w:name w:val="heading 6"/>
    <w:basedOn w:val="normal0"/>
    <w:next w:val="normal0"/>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b/>
      <w:sz w:val="72"/>
      <w:szCs w:val="72"/>
    </w:rPr>
  </w:style>
  <w:style w:type="paragraph" w:styleId="Sous-titr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porate.ford.com" TargetMode="External"/><Relationship Id="rId9" Type="http://schemas.openxmlformats.org/officeDocument/2006/relationships/hyperlink" Target="mailto:sara.ouafir@prmediacom.com" TargetMode="Externa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1180</Words>
  <Characters>6490</Characters>
  <Application>Microsoft Macintosh Word</Application>
  <DocSecurity>0</DocSecurity>
  <Lines>54</Lines>
  <Paragraphs>15</Paragraphs>
  <ScaleCrop>false</ScaleCrop>
  <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MacBook Pro</cp:lastModifiedBy>
  <cp:revision>3</cp:revision>
  <dcterms:created xsi:type="dcterms:W3CDTF">2020-03-02T09:13:00Z</dcterms:created>
  <dcterms:modified xsi:type="dcterms:W3CDTF">2020-03-02T09:15:00Z</dcterms:modified>
</cp:coreProperties>
</file>